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2C0BE0" w:rsidP="002C0BE0">
      <w:pPr>
        <w:jc w:val="center"/>
      </w:pPr>
      <w:r>
        <w:rPr>
          <w:b/>
          <w:u w:val="single"/>
        </w:rPr>
        <w:t>Unit 4 Vocab:</w:t>
      </w:r>
    </w:p>
    <w:p w:rsidR="009A4B72" w:rsidRDefault="009A4B72" w:rsidP="002C0BE0">
      <w:pPr>
        <w:pStyle w:val="ListParagraph"/>
        <w:numPr>
          <w:ilvl w:val="0"/>
          <w:numId w:val="1"/>
        </w:numPr>
        <w:sectPr w:rsidR="009A4B72" w:rsidSect="002C0B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Imperialism (pg. 281)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Yellow Journalism (pg. 288)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Rough Riders (pg. 290) – </w:t>
      </w:r>
    </w:p>
    <w:p w:rsidR="009A4B72" w:rsidRDefault="009A4B72" w:rsidP="009A4B72"/>
    <w:p w:rsidR="009A4B72" w:rsidRDefault="002C0BE0" w:rsidP="002C0BE0">
      <w:pPr>
        <w:pStyle w:val="ListParagraph"/>
        <w:numPr>
          <w:ilvl w:val="0"/>
          <w:numId w:val="1"/>
        </w:numPr>
      </w:pPr>
      <w:r>
        <w:t>Treaty of Paris (pg. 291) –</w:t>
      </w:r>
    </w:p>
    <w:p w:rsidR="002C0BE0" w:rsidRDefault="002C0BE0" w:rsidP="009A4B72">
      <w:r>
        <w:t xml:space="preserve"> </w:t>
      </w:r>
    </w:p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Foraker Act (pg. 294)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Platt Amendment (pg. 295)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Protectorate (pg. 295)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Open door notes (pg. 297)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Dollar Diplomacy (pg. 305)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Nationalism (pg. 315)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Militarism (pg. 315)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Zimmermann note (pg. 324)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Conscientious Objector (pg. 334)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Armistice (pg. 334)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Fourteen Points (pg. 349) – </w:t>
      </w:r>
    </w:p>
    <w:p w:rsidR="009A4B72" w:rsidRDefault="009A4B72" w:rsidP="009A4B72"/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Self – determination (pg. 350)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Ohio Gang (pg. 362)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Urban Sprawl (pg. 365)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Consumerism (pg. 366)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Xenophobia (pg. 371)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Quota System (pg. 374)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 xml:space="preserve">Fundamentalism (pg. 383) – </w:t>
      </w:r>
    </w:p>
    <w:p w:rsidR="009A4B72" w:rsidRDefault="009A4B72" w:rsidP="009A4B72"/>
    <w:p w:rsidR="002C0BE0" w:rsidRDefault="002C0BE0" w:rsidP="002C0BE0">
      <w:pPr>
        <w:pStyle w:val="ListParagraph"/>
        <w:numPr>
          <w:ilvl w:val="0"/>
          <w:numId w:val="1"/>
        </w:numPr>
      </w:pPr>
      <w:r>
        <w:t>Double Stan</w:t>
      </w:r>
      <w:r w:rsidR="009A4B72">
        <w:t xml:space="preserve">dard (pg. 388) – </w:t>
      </w:r>
    </w:p>
    <w:p w:rsidR="009A4B72" w:rsidRDefault="009A4B72" w:rsidP="009A4B72">
      <w:bookmarkStart w:id="0" w:name="_GoBack"/>
      <w:bookmarkEnd w:id="0"/>
    </w:p>
    <w:p w:rsidR="009A4B72" w:rsidRDefault="009A4B72" w:rsidP="002C0BE0">
      <w:pPr>
        <w:pStyle w:val="ListParagraph"/>
        <w:numPr>
          <w:ilvl w:val="0"/>
          <w:numId w:val="1"/>
        </w:numPr>
      </w:pPr>
      <w:r>
        <w:t xml:space="preserve">Modernism (pg. 397) – </w:t>
      </w:r>
    </w:p>
    <w:p w:rsidR="009A4B72" w:rsidRPr="002C0BE0" w:rsidRDefault="009A4B72" w:rsidP="009A4B72"/>
    <w:sectPr w:rsidR="009A4B72" w:rsidRPr="002C0BE0" w:rsidSect="009A4B72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07EF3"/>
    <w:multiLevelType w:val="hybridMultilevel"/>
    <w:tmpl w:val="B1269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E0"/>
    <w:rsid w:val="002C0BE0"/>
    <w:rsid w:val="0048250C"/>
    <w:rsid w:val="009A4B72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1F98"/>
  <w15:chartTrackingRefBased/>
  <w15:docId w15:val="{55BCC2B4-7BBE-4FBB-9EF5-AC68A49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2017-10-27T12:38:00Z</dcterms:created>
  <dcterms:modified xsi:type="dcterms:W3CDTF">2017-10-27T12:50:00Z</dcterms:modified>
</cp:coreProperties>
</file>